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71</w:t>
      </w:r>
    </w:p>
    <w:p>
      <w:r>
        <w:t>Bundesgericht (BGE), 1965-06-08, DE</w:t>
      </w:r>
    </w:p>
    <w:p>
      <w:r>
        <w:rPr>
          <w:b/>
        </w:rPr>
        <w:t xml:space="preserve">Quelle: </w:t>
      </w:r>
      <w:r>
        <w:t>https://mcp.opencaselaw.ch/entscheid/bge_91 IV 71</w:t>
      </w:r>
    </w:p>
    <w:p>
      <w:r>
        <w:t>FR: ATF 91 IV 71</w:t>
      </w:r>
    </w:p>
    <w:p>
      <w:r>
        <w:t>IT: DTF 91 IV 71</w:t>
      </w:r>
    </w:p>
    <w:p>
      <w:pPr>
        <w:pStyle w:val="Heading2"/>
      </w:pPr>
      <w:r>
        <w:t>Regeste</w:t>
      </w:r>
    </w:p>
    <w:p>
      <w:r>
        <w:t>Regeste Art. 314 StGB. Ungetreue Amtsführung. Ein Beamter, der nach Massgabe des kantonalen Beamtenrechts von sich aus Aufgaben übernimmt, die im öffentlichen Interesse liegen, hat dieses zu wahren.</w:t>
      </w:r>
    </w:p>
    <w:p>
      <w:pPr>
        <w:pStyle w:val="Heading2"/>
      </w:pPr>
      <w:r>
        <w:t>Erwägungen</w:t>
      </w:r>
    </w:p>
    <w:p>
      <w:r>
        <w:rPr>
          <w:b/>
        </w:rPr>
        <w:t>E. 1</w:t>
      </w:r>
    </w:p>
    <w:p>
      <w:r>
        <w:t>Nach Art. 314 StGB werden wegen ungetreuer Amtsführung Mitglieder einer Behörde oder Beamte bestraft, die bei einem Rechtsgeschäft die von ihnen zu wahrenden öffentlichen Interessen schädigen, um sich oder einem andern einen unrechtmässigen Vorteil zu verschaffen. Der Beschwerdeführer bestreitet zunächst, dass ein Rechtsgeschäft im Sinne der genannten Bestimmung vorliege, bei dem er öffentliche Interessen zu wahren gehabt hätte. Als Mitglied der Erbteilungskommission habe er nur die Interessen der Erben, mithin private Interessen zu vertreten gehabt. Die Einwendung ist nicht stichhaltig. Wie die Vorinstanz in Übereinstimmung mit dem Kriminalgericht feststellt, kann der Gemeindeschreiber bei der Ausübung seiner amtlichen Tätigkeit von sich aus weitere Aufgaben übernehmen, die im öffentlichen Interesse liegen. Er handle alsdann nicht als privater Beauftragter, sondern als Beamter. Das ist Auslegung kantonalen Beamtenrechts, die sich gemäss Art. 269 Abs. 1 und Art. 273 Abs. 1 lit. b BStP der Überprüfung durch den Kassationshof entzieht. Irgend eine Vorschrift eidgenössischen Rechts ist nicht verletzt. Ein Rechtsgeschäft der geschilderten Art hat der Beschwerdeführer getätigt, indem er die Aktien zum Verkauf an die Gemeinde entgegennahm. Wohl hat er einerseits den Auftrag von Privatpersonen erhalten. Er ist dabei jedoch nicht als irgend ein Vermittler, sondern als Vertreter der Gemeinde aufgetreten und als solcher auch angesprochen worden. Ob er anderseits von der Gemeinde zum Erwerb der Aktien ausdrücklich beauftragt war, ist nicht zu untersuchen. Sollte es nicht der Fall gewesen sein, so entsprach seine Stellung derjenigen eines Geschäftsführers ohne Auftrag, der ebenfalls das Interesse dessen zu wahren hat, für den er handelt (vgl. Art. 419 ff. OR ). So gesehen konnte die Vorinstanz, ohne Bundesrecht zu verletzen, davon ausgehen, der Beschwerdeführer habe sich auf ein BGE 91 IV 71 S. 74 Rechtsgeschäft eingelassen, bei dem er ein öffentliches Interesse wahrzunehmen hatte, nämlich dasjenige, das er den Erben gegenüber selber angegeben hatte. Mit der Verneinung dieses Tatbestandsmerkmales wäre dem Beschwerdeführer übrigens nicht geholfen. Denn auf Grund des verbleibenden Sachverhaltes hätte er, wenn nicht Art. 314 StGB zur Anwendung käme, eine Verurteilung nach Art. 140 Ziff. 2 StGB (Veruntreuung, begangen durch einen Beamten) zu gewärtigen, die keine mildere Bestrafung rechtfertigen würde.</w:t>
      </w:r>
    </w:p>
    <w:p>
      <w:r>
        <w:rPr>
          <w:b/>
        </w:rPr>
        <w:t>E. 2</w:t>
      </w:r>
    </w:p>
    <w:p>
      <w:r>
        <w:t>(Schädigung der öffentlichen Interessen gegeben, da der Gemeinde an Rechten und wirtschaftlichem Mehrwert entgangen ist, was ihr beim vorgesehenen Erwerb der Aktien zugekommen wäre. Verbindlichkeit tatsächlicher Feststellungen der Vorinstanz. Ausschluss neuer Behauptungen im Nichtigkeitsverfahren.)</w:t>
      </w:r>
    </w:p>
    <w:p>
      <w:r>
        <w:rPr>
          <w:b/>
        </w:rPr>
        <w:t>E. 3</w:t>
      </w:r>
    </w:p>
    <w:p>
      <w:r>
        <w:t>(Bejahung der Unrechtmässigkeit des erlangten Vorteils, da der Beschwerdeführer auftragswidrig und in Verletzung seiner Beamtenpflicht gehandelt hat. Rechtsirrtum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